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日照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沪农商村镇银行股份有限公司20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年半年度资本充足率信息披露报告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本报告根据《商业银行资本管理办法》（国家金融监督管理总局令2023年第4号）等相关规定编制并披露。2025年上半年度资本充足信息披露如下：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关键审慎监管指标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2"/>
        <w:tblW w:w="89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908"/>
        <w:gridCol w:w="2201"/>
        <w:gridCol w:w="2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单位：人民币万元、%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2025年6月30日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可用资本（数额）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1597.13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资本净额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2266.04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2503.83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风险加权资产（数额）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信用风险加权资产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24352.92 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22408.18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操作风险加权资产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2239.27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2239.27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风险加权资产合计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26592.19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24647.45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核心一级资本充足率（%）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6.01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资本充足率（%）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8.52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调整后表内外资产余额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46174.88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37925.74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  <w:r>
              <w:rPr>
                <w:rStyle w:val="4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杠杆率a</w:t>
            </w:r>
            <w:r>
              <w:rPr>
                <w:rStyle w:val="4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3.46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优质流动性资产充足率（%）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134.27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165.07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流动性匹配率（%）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134.88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133.12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6516C"/>
    <w:rsid w:val="0F354F0A"/>
    <w:rsid w:val="121D69BB"/>
    <w:rsid w:val="15D31558"/>
    <w:rsid w:val="1796520E"/>
    <w:rsid w:val="19512460"/>
    <w:rsid w:val="1A150658"/>
    <w:rsid w:val="20454DE3"/>
    <w:rsid w:val="24B3175E"/>
    <w:rsid w:val="279C6C4C"/>
    <w:rsid w:val="3EB91648"/>
    <w:rsid w:val="425B23FE"/>
    <w:rsid w:val="4C3B3EBB"/>
    <w:rsid w:val="4D4B24ED"/>
    <w:rsid w:val="546E00BA"/>
    <w:rsid w:val="6B643F3B"/>
    <w:rsid w:val="781E02EC"/>
    <w:rsid w:val="7B7078F4"/>
    <w:rsid w:val="7D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2023-11-24T11:32:00Z</dcterms:created>
  <dc:creator>shrcb</dc:creator>
  <cp:lastModifiedBy>日照沪农商村行</cp:lastModifiedBy>
  <dcterms:modified xsi:type="dcterms:W3CDTF">2025-08-04T06:14:46Z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C5FB80E266C74BF8B3F9C7A241810F48</vt:lpwstr>
  </property>
</Properties>
</file>